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Malung-Sälen kommunfullmäktige</w:t>
      </w:r>
    </w:p>
    <w:p>
      <w:pPr>
        <w:pStyle w:val="Heading1"/>
      </w:pPr>
      <w:r>
        <w:t xml:space="preserve">Fler lärare och stöd i glesbygdsskolor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Malung-Sälen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Meritvärdet i årskurs 9 ligger under rikssnittet (Kolada 2024). Skolor i glesbygd har stora utmaningar med elevunderlag och lärarrekrytering. Extra resurser krävs för likvärdig skola.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Malung-Sälen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avsätter 3 miljoner kronor årligen för fler lärare i grundskolan.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särskild satsning görs på skolorna i Limedsforsen och Transtrand.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elevhälsan förstärks med en extra skolpsykolog.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resultaten följs upp årligen mot Kolada-mål.</w:t>
      </w:r>
    </w:p>
    <w:p>
      <w:pPr>
        <w:spacing w:before="360"/>
      </w:pPr>
    </w:p>
    <w:p>
      <w:r>
        <w:t xml:space="preserve">Malung-Sälen,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Malung-Sälen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2026-07-14T00:47:49.924Z</dcterms:created>
  <dcterms:modified xsi:type="dcterms:W3CDTF">2026-07-14T00:47:49.924Z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